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1F4E79"/>
          <w:sz w:val="44"/>
          <w:szCs w:val="44"/>
        </w:rPr>
        <w:t xml:space="preserve">TEKNİK ŞARTNAME</w:t>
      </w:r>
    </w:p>
    <w:p>
      <w:pPr>
        <w:spacing w:after="60"/>
      </w:pPr>
      <w:r>
        <w:rPr>
          <w:rFonts w:ascii="Arial" w:cs="Arial" w:eastAsia="Arial" w:hAnsi="Arial"/>
          <w:color w:val="595959"/>
          <w:sz w:val="28"/>
          <w:szCs w:val="28"/>
        </w:rPr>
        <w:t xml:space="preserve">Panoya Monte Ethernet Çok Fonksiyonlu Enerji Analizörü (DIN 96, Class 0.2S)</w:t>
      </w:r>
    </w:p>
    <w:p>
      <w:pPr>
        <w:spacing w:after="200"/>
      </w:pPr>
      <w:r>
        <w:rPr>
          <w:rFonts w:ascii="Arial" w:cs="Arial" w:eastAsia="Arial" w:hAnsi="Arial"/>
          <w:color w:val="595959"/>
          <w:sz w:val="22"/>
          <w:szCs w:val="22"/>
        </w:rPr>
        <w:t xml:space="preserve">Referans ürün: CET PMC-53A-E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Hazırlama notu (yayından önce silin)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Bu şartname yalnızca CET PMC-53A-E datasheet (17 Temmuz 2026) ve kullanım kılavuzu V2.2 (1 Nisan 2026) esas alınarak hazırlanmıştır. Değerler "asgari" olarak yazılmıştır. [Köşeli parantez] içindeki alanlar idarenin/şirketin doldurması gereken bilgilerdir. Bu cihaz bir çok fonksiyonlu enerji analizörüdür; IEC 61000-4-30 Class A/S güç kalitesi analizörü değildir, harmonik ölçümü IEC 61000-4-7 Class II'dir. Bazı özellikler firmware sürümüne bağlıdır (128 örnek/periyot, sapma izleme, karbon emisyonu, genişleme B/C, BACnet/IP, PROFINET). Ek-1'deki sipariş kodu yapısı datasheet'teki sipariş kılavuzundan (sürüm 20251121) alınmıştır. Kamu ihalesinde kullanılacaksa marka/model adı ve rekabeti kısıtlayan ifadeler gözden geçirilmelidir.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İş / proje adı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[Proje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İdare / alıcı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[Kurum adı]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Adet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[Adet] adet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Şartname tarihi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[Tarih]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1. Amaç ve Kapsam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Bu şartname, [yer/tesis] için temin edilecek panoya monte, DIN 96 gövdeli, Ethernet portlu, IEC 62053-22 Class 0.2S doğruluklu çok fonksiyonlu enerji analizörlerinin asgari teknik özelliklerini, teslimat, garanti ve eğitim koşullarını tanımlar.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Cihazlar, besleme ve fider noktalarında enerji, güç, talep ve temel güç kalitesi göstergelerinin ölçülmesi, çoklu tarifeli enerji kaydı, alt sayaç ölçümü ve enerji yönetim sistemlerine veri aktarımı için kullanılacaktır.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2. Genel Hükümler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cihazlar yeni, kullanılmamış ve güncel üretim olacaktır.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Bu şartnamedeki değerler asgari değerlerdir. Daha üstün özellikler kabul edilir.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sahibi, Bölüm 3'teki tabloların "Teklif edilen değer" ve "Uygun / Uygun değil" sütunlarını eksiksiz dolduracaktır. Her madde için dayanak doküman ve sayfa numarası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Cihaz üzerinde standart olmayan veya ek ücret gerektiren özellikler ile belirli bir firmware sürümüne bağlı özellikler teklifte açıkça belirtilecektir.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Harici akım trafosu, split-core CT, Rogowski bobini ve benzeri aksesuarlar cihazla birlikte gelmez; gerekiyorsa ayrıca belirtilecek ve fiyatlandırılacaktır.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3. Teknik Gereksinimler</w:t>
      </w: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3.1 Standartlar ve sertifikalar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 enerji ölçümü IEC 62053-22 Class 0.2S olacaktır. ANSI C12.1 Class 0.2 uyumu [istenir / istenmez].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Reaktif enerji ölçümü IEC 62053-24 Class 0.5S veya IEC 62053-23 Class 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IEC 61557-12 (PMD)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Harmonik ve K-faktörü ölçümü IEC 61000-4-7 Class II ile uyumlu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CE işaretli olacaktır (LVD 2014/35/EU, EMC 2014/30/EU). Güvenlik testleri EN 61010-1 ve EN IEC 61010-2-030'a göre yapılmış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cULus listeli (UL 61010-1)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Yalıtım dayanımı en az 3,6 kV AC (1 dakika), darbe gerilimi en az 6 kV (1,2/50 µs), yalıtım direnci en az 100 MΩ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EMC bağışıklık testleri en az EN 61000-4-2, -3, -4, -5, -6, -8, -11, -12 ve EN IEC 61000-6-2'ye göre yapılmış olacaktır. Emisyon EN IEC 61000-6-4'e uygun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3.1.9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BACnet kullanılacaksa BTL listeli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3.2 Ölçüm girişleri ve doğruluk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 gerilim girişi (V1, V2, V3, VN) ve 3 akım girişi bulunacaktır. [İsteğe bağlı] nötr akımı için I4 girişi ve artık akım (Ir) girişi opsiyonu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nominal 400 V faz-nötr / 690 V faz-faz olacak, ölçüm aralığı en az 10 V - 2 x Un kapsayacaktır. Aşırı yük sürekli en az 2 x Un, 1 saniye en az 5 x Un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girişi 5 A nominal olacak, [1 A seçeneği isteniyor / istenmiyor]. Ölçüm aralığı nominal akımın en az %0,1 - %200'ü olacaktır. Aşırı yük sürekli en az 2 x In, 1 saniye en az 20 x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girişi tüketimi en fazla 0,02 VA/faz, akım girişi tüketimi 5 A'de en fazla 0,15 VA/faz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Ölçüm kategorisi en az CAT III 600 V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aralığı en az 45-65 Hz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Gerçek RMS ölçüm yapacak, örnekleme en az 128 örnek/periyot olacaktır (Firmware V2.00.01 ve üzeri).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Gerilim, akım ve I4 doğruluğu 5 A/1 A girişte en fazla ±%0,1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Aktif, reaktif ve görünür güç doğruluğu en fazla ±%0,2, güç faktörü doğruluğu en fazla ±%0,2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Frekans doğruluğu en fazla ±0,01 Hz, faz açısı doğruluğu en fazla ±1°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başlangıç eşiği en fazla %0,1 In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Split-core akım trafosu (100-1600 A, 40 mA sekonder) ve Rogowski bobini (400-5000 A, 40 mA sekonder) girişi desteklenecektir. Bu girişlerde ana ünite doğruluğu Class 0.5S'dir; harici sensör doğruluğu ayrıca belirtilecektir.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Artık akım girişi (nominal 0,5 mA, aralık %2 - %200) bulunacak, doğruluğu en fazla ±%0,5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3.2.14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Besleme gerilimi en az 60-250 V AC (47-440 Hz) ve 24-250 V DC aralığını kapsayacak, tüketim 4 W'ı geçmeyecektir.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3.3 Ölçülen büyüklükler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Faz-nötr ve faz-faz gerilim (faz başına ve ortalama), faz başına ve ortalama akım, hesaplanan nötr akımı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P, Q, S ve PF; frekans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kWh ve kvarh çekilen, verilen, net ve toplam; kVAh toplam ve kvarh Q1-Q4 enerjileri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Periyodik (interval) enerji ölçümü (kWh/kvarh çekilen/verilen ve kVAh)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THD, TOHD ve TEHD değerleri ile en az 63. harmoniğe kadar bireysel harmonikler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Akım TDD, TDD Odd/Even, K-Faktörü ve Tepe Faktörü hesaplanacaktır.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ve akım dengesizliği, simetrili bileşenler ve faz açıları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 (ULN, ULL) ve frekans sapması izlenecektir.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Faz başına ve toplam temel (fundamental) güç ve displacement PF ölçülecektir.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3.3.10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periyotluk gerçek zamanlı gerilim ve akım dalga şekli cihaz ekranında gösterilebilecektir.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çalışma süresi (running hours) sayılacaktır.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3.3.12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Karbon emisyonu ölçümü bulunacaktır (Firmware V2.00.03 ve üzeri).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3.4 Talep ve çoklu tarife (TOU)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ULN, ULL, faz başına ve ortalama akım ile P, Q, S toplam için mevcut, öngörülen ve maksimum talep ölçülecektir. Maksimum talep zaman damgalı olacak, bu ay / geçen ay (veya son reset / önceki reset) için saklanacaktır.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TOU takvimi desteklenecektir.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TOU takviminde en az 12 mevsim, 20 günlük profil (her biri 12 periyot), 90 tatil/alternatif gün ve 8 tarife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tarife için kWh/kvarh çekilen ve verilen ile kVAh enerjileri ve P/Q/S maksimum talepleri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3.4.5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Tarife seçimi dijital giriş durumlarına bağlanabilecektir.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3.5 Kayıt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Gerilim, akım, güç, PF, frekans, dengesizlik, K-Faktörü, Tepe Faktörü ve THD için zaman damgalı Max./Min.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12 aylık enerji kaydı tutulacaktır.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100 olay kapasiteli, ±1 ms çözünürlüklü SOE kaydı bulunacaktır. Ayar değişikliği, setpoint, DI ve DO olayları kaydedilecektir.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60 günlük ve 36 aylık freeze (dondurma) kaydı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5 veri kaydedici (her biri 16 parametre) bulunacak, kayıt aralığı en az 1 dakika - 40 gün arasında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Kalıcı kayıt belleği en az 16 MB olacaktır. Kayıtlar enerji kesintisinde kaybolmayacaktır.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Veri kaydedici, 15 dakikalık aralıkla 16 parametre için en az 3 yıl (1250 gün) kayıt yapılabilecek şekilde yapılandırılabilecektir.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Pil destekli gerçek zamanlı saat bulunacak, doğruluğu en fazla 6 ppm (günde 0,5 saniye)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3.5.9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Tanılama: frekans aralık dışı, gerilim/akım kaybı, güç yönü, hatalı CT polaritesi, hatalı faz sırası ve (opsiyonel Ir girişinde) bağlantı kopması tespit edilebilecektir.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3.6 Haberleşme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 adet 10Base-T/100Base-TX Ethernet portu (RJ45)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Ethernet üzerinden Modbus TCP, HTTP, SMTP, SNTP ve TFTP desteklenecek, Ethernet geçidi olarak çalışabilecektir.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BACnet/IP ve PROFINET desteklenecektir (Firmware V2.00.04 ve üzeri).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1 adet optik yalıtımlı RS-485 portu bulunacak, 1,2-38,4 kbps hızı destekleyecektir.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RS-485 üzerinde Modbus RTU desteklenecektir. [İsteğe bağlı] BACnet MS/TP ve DNP 3.0 seçilebilecektir.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Şifre korumalı dahili web sunucusu bulunacak; veriler görüntülenebilecek ve ayarların çoğu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ayarları ön panelden, web sunucusundan ve üreticinin ücretsiz yapılandırma yazılımıyla yapılabilecektir.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3.6.8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Modbus kayıt haritası üretici tarafından sağlanacaktır.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3.7 Giriş / çıkışlar ve setpoint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4 dijital giriş (potansiyelsiz kuru kontak, dahili 24 VDC beslemeli) bulunacaktır. Örnekleme en az 1000 Hz, programlanabilir debounce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Dijital girişler durum izleme, darbe sayma (ağırlık programlanabilir) ve tarife anahtarlama için kullanılabilecektir.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2 adet Form A mekanik röle çıkışı (5 A @ 250 VAC / 30 VDC, rezistif)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2 adet Form A katı hal röle darbe çıkışı (kWh/kvarh) bulunacaktır (en fazla 50 VDC, 50 mA).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[İsteğe bağlı] Analog giriş (0/4-20 mA), 2 analog çıkış (0/4-20 mA) ve 3 adet PT100 RTD girişi (-50 °C ile 200 °C) seçenekleri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3.7.6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9 adet programlanabilir setpoint bulunacak; eşik, gecikme, DO ve alarm e-postası tetikleme ayarlanabilecektir.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2"/>
        <w:keepNext/>
        <w:spacing w:after="100" w:before="240"/>
      </w:pPr>
      <w:r>
        <w:rPr>
          <w:rFonts w:ascii="Arial" w:cs="Arial" w:eastAsia="Arial" w:hAnsi="Arial"/>
          <w:b/>
          <w:bCs/>
          <w:color w:val="2E75B6"/>
          <w:sz w:val="23"/>
          <w:szCs w:val="23"/>
        </w:rPr>
        <w:t xml:space="preserve">3.8 Ekran ve mekanik özellikler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5288"/>
        <w:gridCol w:w="2300"/>
        <w:gridCol w:w="1200"/>
      </w:tblGrid>
      <w:tr>
        <w:trPr>
          <w:cantSplit/>
          <w:tblHeader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Madde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Gereksinim (asgari)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Teklif edilen değer</w:t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1F4E7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Uygun / Uygun değil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3.8.1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Geniş görüş açılı, arkadan aydınlatmalı nokta matris LCD ekran bulunacak, aynı anda en az 4 ölçüm gösterebilecektir.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3.8.2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Enerji darbesi ve haberleşme aktivitesi için LED göstergeleri bulunacaktır.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3.8.3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DIN 96 gövdeli olacak, ön yüz 96 x 96 mm, derinlik en fazla 83,6 mm, pano kesiti 92 x 92 mm olacaktır. Takımsız klips ile monte edilecektir.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3.8.4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Koruma sınıfı ön panelde en az IP65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3.8.5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Çalışma sıcaklığı en az -25 °C ile 70 °C, saklama sıcaklığı en az -40 °C ile 85 °C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3.8.6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Nem toleransı en az %5-%95 (yoğuşmasız)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3.8.7</w:t>
            </w:r>
          </w:p>
        </w:tc>
        <w:tc>
          <w:tcPr>
            <w:tcW w:type="dxa" w:w="528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Yükseklik toleransı en az 2000 m olacaktır.</w:t>
            </w:r>
          </w:p>
        </w:tc>
        <w:tc>
          <w:tcPr>
            <w:tcW w:type="dxa" w:w="23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type="dxa" w:w="1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80"/>
      </w:pP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4. Teslimat, Garanti, Test ve Eğitim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süresi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Sipariş tarihinden itibaren [__] takvim günü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Teslim yeri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[Adres]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Garanti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En az [__] yıl. Garanti süresince arızalı cihaz ücretsiz onarılacak veya değiştirilecektir.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Yedek parça ve destek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 üretimden kalktıktan sonra [__] yıl yedek parça ve teknik destek sağlanacaktır.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Devreye alma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[İdare belirler: Devreye alma ve ayar hizmeti isteniyor / istenmiyor]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Eğitim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[__] kişilik, [__] gün kullanım ve yapılandırma eğitimi verilecektir.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Dokümantasyon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Kullanım kılavuzu, datasheet ve haberleşme (Modbus) kayıt haritası teslim edilecektir. [Türkçe doküman istenir / istenmez.]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Fabrika testi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Her cihaz için seri numaralı test/kalibrasyon belgesi sunulacaktır.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Ambalaj</w:t>
            </w:r>
          </w:p>
        </w:tc>
        <w:tc>
          <w:tcPr>
            <w:tcW w:type="dxa" w:w="67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Cihazlar, nakliye sırasında zarar görmeyecek şekilde orijinal ambalajında teslim edilecektir.</w:t>
            </w:r>
          </w:p>
        </w:tc>
      </w:tr>
    </w:tbl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5. Teklifle Birlikte Sunulacak Belgeler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Doldurulmuş teknik uygunluk tabloları (Bölüm 3)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cihazın datasheet ve kullanım kılavuzu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Madde 3.1'de istenen standart uygunluk belgeleri / test raporları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CE uygunluk beyanı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Üretici yetki veya distribütörlük belgesi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Benzer iş referans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Teklif edilen firmware sürümü ve sürüme bağlı özelliklerin listesi</w:t>
      </w:r>
    </w:p>
    <w:p>
      <w:pPr>
        <w:pStyle w:val="ListParagraph"/>
        <w:numPr>
          <w:ilvl w:val="0"/>
          <w:numId w:val="2"/>
        </w:numPr>
        <w:spacing w:after="70" w:line="285"/>
      </w:pPr>
      <w:r>
        <w:rPr>
          <w:rFonts w:ascii="Arial" w:cs="Arial" w:eastAsia="Arial" w:hAnsi="Arial"/>
          <w:sz w:val="21"/>
          <w:szCs w:val="21"/>
        </w:rPr>
        <w:t xml:space="preserve">Aksesuarlar varsa ayrı fiyat ve teknik özellik listesi</w:t>
      </w:r>
    </w:p>
    <w:p>
      <w:pPr>
        <w:pStyle w:val="Heading1"/>
        <w:pBdr>
          <w:bottom w:val="single" w:color="1F4E79" w:sz="8" w:space="4"/>
        </w:pBdr>
        <w:spacing w:after="130" w:before="320"/>
      </w:pPr>
      <w:r>
        <w:rPr>
          <w:rFonts w:ascii="Arial" w:cs="Arial" w:eastAsia="Arial" w:hAnsi="Arial"/>
          <w:b/>
          <w:bCs/>
          <w:color w:val="1F4E79"/>
          <w:sz w:val="28"/>
          <w:szCs w:val="28"/>
        </w:rPr>
        <w:t xml:space="preserve">Ek-1: Sipariş Bilgisi</w:t>
      </w:r>
    </w:p>
    <w:p>
      <w:pPr>
        <w:spacing w:after="110" w:line="290"/>
      </w:pPr>
      <w:r>
        <w:rPr>
          <w:rFonts w:ascii="Arial" w:cs="Arial" w:eastAsia="Arial" w:hAnsi="Arial"/>
          <w:b w:val="false"/>
          <w:bCs w:val="false"/>
          <w:sz w:val="21"/>
          <w:szCs w:val="21"/>
        </w:rPr>
        <w:t xml:space="preserve">Datasheet'teki sipariş kılavuzuna (sürüm 20251121) göre standart Class 0.2S model kodu PMC-53A-E-5925AXE2, Class 0.5S standart model kodu PMC-53A-E-5925AXE'dir. Kod yapısı ve seçenekler aşağıdadır. Seçenekler siparişte ayrıca belirtilmelidir.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Temel fonksiyon (E)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Nokta matris LCD, aylık/günlük freeze kaydı, veri kaydedici, 16 MB bellek, 1 Ethernet ve 1 RS-485 (Modbus RTU, BACnet MS/TP, DNP 3.0)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Akım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5: 5 A (5 A/1 A otomatik ölçekleme); 1: 1 A; 4: split-core CT (100-1600 A) ve Rogowski bobini (400-5000 A), 40 mA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Gerilim girişi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9: 400 V faz-nötr / 690 V faz-faz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Besleme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2: 60-250 VAC ±%10, 47-440 Hz / 24-250 VDC ±%10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Frekans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5: 45-65 Hz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I/O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A: 4 DI + 2 DO (mekanik röle); B: 4 DI + 2 katı hal darbe çıkışı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Genişleme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X: yok; A: I4 + AI (0/4-20 mA) + Ir (0-0,5 mA); B: 2 AO (0/4-20 mA); C: 3 RTD. A/B/C ek ücretlidir.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Dil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E: İngilizce</w:t>
            </w:r>
          </w:p>
        </w:tc>
      </w:tr>
      <w:tr>
        <w:trPr>
          <w:cantSplit/>
        </w:trPr>
        <w:tc>
          <w:tcPr>
            <w:tcW w:type="dxa" w:w="3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EAF1F8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Doğruluk</w:t>
            </w:r>
          </w:p>
        </w:tc>
        <w:tc>
          <w:tcPr>
            <w:tcW w:type="dxa" w:w="643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2: Class 0.2S (yalnızca akım girişi 5 ve 1); boş: Class 0.5S. Akım girişi 4 için ana ünite Class 0.5S.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6"/>
        <w:szCs w:val="16"/>
      </w:rPr>
      <w:t xml:space="preserve">Çok Fonksiyonlu Enerji Analizörü Teknik Şartnamesi  |  Sayfa </w:t>
    </w:r>
    <w:r>
      <w:rPr>
        <w:rFonts w:ascii="Arial" w:cs="Arial" w:eastAsia="Arial" w:hAnsi="Arial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30" w:before="320"/>
      <w:outlineLvl w:val="0"/>
    </w:pPr>
    <w:rPr>
      <w:rFonts w:ascii="Arial" w:cs="Arial" w:eastAsia="Arial" w:hAnsi="Arial"/>
      <w:b/>
      <w:bCs/>
      <w:color w:val="1F4E79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2E75B6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Çok Fonksiyonlu Enerji Analizörü Teknik Şartnamesi</dc:title>
  <dc:creator>SGE Mühendislik</dc:creator>
  <cp:lastModifiedBy>Un-named</cp:lastModifiedBy>
  <cp:revision>1</cp:revision>
  <dcterms:created xsi:type="dcterms:W3CDTF">2026-10-05T17:39:48.702Z</dcterms:created>
  <dcterms:modified xsi:type="dcterms:W3CDTF">2026-10-05T17:39:48.702Z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