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Arial" w:cs="Arial" w:eastAsia="Arial" w:hAnsi="Arial"/>
          <w:b/>
          <w:bCs/>
          <w:color w:val="1F4E79"/>
          <w:sz w:val="44"/>
          <w:szCs w:val="44"/>
        </w:rPr>
        <w:t xml:space="preserve">TEKNİK ŞARTNAME</w:t>
      </w:r>
    </w:p>
    <w:p>
      <w:pPr>
        <w:spacing w:after="60"/>
      </w:pPr>
      <w:r>
        <w:rPr>
          <w:rFonts w:ascii="Arial" w:cs="Arial" w:eastAsia="Arial" w:hAnsi="Arial"/>
          <w:color w:val="595959"/>
          <w:sz w:val="28"/>
          <w:szCs w:val="28"/>
        </w:rPr>
        <w:t xml:space="preserve">Panoya Monte Dijital Çok Fonksiyonlu Enerji Analizörü (DIN 96, Class 0.5S)</w:t>
      </w:r>
    </w:p>
    <w:p>
      <w:pPr>
        <w:spacing w:after="200"/>
      </w:pPr>
      <w:r>
        <w:rPr>
          <w:rFonts w:ascii="Arial" w:cs="Arial" w:eastAsia="Arial" w:hAnsi="Arial"/>
          <w:color w:val="595959"/>
          <w:sz w:val="22"/>
          <w:szCs w:val="22"/>
        </w:rPr>
        <w:t xml:space="preserve">Referans ürün: CET PMC-53M-A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00"/>
        <w:gridCol w:w="6738"/>
      </w:tblGrid>
      <w:tr>
        <w:trPr>
          <w:cantSplit/>
        </w:trPr>
        <w:tc>
          <w:tcPr>
            <w:tcW w:type="dxa" w:w="2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Hazırlama notu (yayından önce silin)</w:t>
            </w:r>
          </w:p>
        </w:tc>
        <w:tc>
          <w:tcPr>
            <w:tcW w:type="dxa" w:w="67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Bu şartname yalnızca CET PMC-53M-A datasheet (17 Eylül 2025) ve kullanım kılavuzu V2.0 (17 Eylül 2025) esas alınarak hazırlanmıştır. Değerler "asgari" olarak yazılmıştır. [Köşeli parantez] içindeki alanlar idarenin/şirketin doldurması gereken bilgilerdir. Bu cihaz Class 0.5S doğruluklu bir çok fonksiyonlu enerji analizörüdür; çoklu tarife (TOU), freeze kaydı, veri kaydedici ve Ethernet haberleşmesi içermez, IEC 61000-4-30 Class A/S analizörü değildir. 63. harmonik ve 128 örnek/periyot için "V2 ve sonraki sürüm" gereklidir. Datasheet'teki sipariş kodu tablosu görsel olduğundan Ek-1'de kod yapısı verilmemiştir. Kamu ihalesinde kullanılacaksa marka/model adı ve rekabeti kısıtlayan ifadeler gözden geçirilmelidir.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İş / proje adı</w:t>
            </w:r>
          </w:p>
        </w:tc>
        <w:tc>
          <w:tcPr>
            <w:tcW w:type="dxa" w:w="67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[Proje adı]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İdare / alıcı</w:t>
            </w:r>
          </w:p>
        </w:tc>
        <w:tc>
          <w:tcPr>
            <w:tcW w:type="dxa" w:w="67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[Kurum adı]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Adet</w:t>
            </w:r>
          </w:p>
        </w:tc>
        <w:tc>
          <w:tcPr>
            <w:tcW w:type="dxa" w:w="67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[Adet] adet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Şartname tarihi</w:t>
            </w:r>
          </w:p>
        </w:tc>
        <w:tc>
          <w:tcPr>
            <w:tcW w:type="dxa" w:w="67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[Tarih]</w:t>
            </w:r>
          </w:p>
        </w:tc>
      </w:tr>
    </w:tbl>
    <w:p>
      <w:pPr>
        <w:pStyle w:val="Heading1"/>
        <w:pBdr>
          <w:bottom w:val="single" w:color="1F4E79" w:sz="8" w:space="4"/>
        </w:pBdr>
        <w:spacing w:after="130" w:before="320"/>
      </w:pPr>
      <w:r>
        <w:rPr>
          <w:rFonts w:ascii="Arial" w:cs="Arial" w:eastAsia="Arial" w:hAnsi="Arial"/>
          <w:b/>
          <w:bCs/>
          <w:color w:val="1F4E79"/>
          <w:sz w:val="28"/>
          <w:szCs w:val="28"/>
        </w:rPr>
        <w:t xml:space="preserve">1. Amaç ve Kapsam</w:t>
      </w:r>
    </w:p>
    <w:p>
      <w:pPr>
        <w:spacing w:after="110" w:line="290"/>
      </w:pP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Bu şartname, [yer/tesis] için temin edilecek panoya monte, DIN 96 gövdeli, IEC 62053-22 Class 0.5S doğruluklu dijital çok fonksiyonlu enerji analizörlerinin asgari teknik özelliklerini, teslimat, garanti ve eğitim koşullarını tanımlar.</w:t>
      </w:r>
    </w:p>
    <w:p>
      <w:pPr>
        <w:spacing w:after="110" w:line="290"/>
      </w:pP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Cihazlar, besleme ve fider noktalarında enerji, güç, talep ve temel güç kalitesi göstergelerinin ölçülmesi, alt sayaç ölçümü ve enerji yönetim/SCADA sistemlerine Modbus RTU ile veri aktarımı için kullanılacaktır.</w:t>
      </w:r>
    </w:p>
    <w:p>
      <w:pPr>
        <w:pStyle w:val="Heading1"/>
        <w:pBdr>
          <w:bottom w:val="single" w:color="1F4E79" w:sz="8" w:space="4"/>
        </w:pBdr>
        <w:spacing w:after="130" w:before="320"/>
      </w:pPr>
      <w:r>
        <w:rPr>
          <w:rFonts w:ascii="Arial" w:cs="Arial" w:eastAsia="Arial" w:hAnsi="Arial"/>
          <w:b/>
          <w:bCs/>
          <w:color w:val="1F4E79"/>
          <w:sz w:val="28"/>
          <w:szCs w:val="28"/>
        </w:rPr>
        <w:t xml:space="preserve">2. Genel Hükümler</w:t>
      </w:r>
    </w:p>
    <w:p>
      <w:pPr>
        <w:pStyle w:val="ListParagraph"/>
        <w:numPr>
          <w:ilvl w:val="0"/>
          <w:numId w:val="2"/>
        </w:numPr>
        <w:spacing w:after="70" w:line="285"/>
      </w:pPr>
      <w:r>
        <w:rPr>
          <w:rFonts w:ascii="Arial" w:cs="Arial" w:eastAsia="Arial" w:hAnsi="Arial"/>
          <w:sz w:val="21"/>
          <w:szCs w:val="21"/>
        </w:rPr>
        <w:t xml:space="preserve">Teklif edilen cihazlar yeni, kullanılmamış ve güncel üretim olacaktır.</w:t>
      </w:r>
    </w:p>
    <w:p>
      <w:pPr>
        <w:pStyle w:val="ListParagraph"/>
        <w:numPr>
          <w:ilvl w:val="0"/>
          <w:numId w:val="2"/>
        </w:numPr>
        <w:spacing w:after="70" w:line="285"/>
      </w:pPr>
      <w:r>
        <w:rPr>
          <w:rFonts w:ascii="Arial" w:cs="Arial" w:eastAsia="Arial" w:hAnsi="Arial"/>
          <w:sz w:val="21"/>
          <w:szCs w:val="21"/>
        </w:rPr>
        <w:t xml:space="preserve">Bu şartnamedeki değerler asgari değerlerdir. Daha üstün özellikler kabul edilir.</w:t>
      </w:r>
    </w:p>
    <w:p>
      <w:pPr>
        <w:pStyle w:val="ListParagraph"/>
        <w:numPr>
          <w:ilvl w:val="0"/>
          <w:numId w:val="2"/>
        </w:numPr>
        <w:spacing w:after="70" w:line="285"/>
      </w:pPr>
      <w:r>
        <w:rPr>
          <w:rFonts w:ascii="Arial" w:cs="Arial" w:eastAsia="Arial" w:hAnsi="Arial"/>
          <w:sz w:val="21"/>
          <w:szCs w:val="21"/>
        </w:rPr>
        <w:t xml:space="preserve">Teklif sahibi, Bölüm 3'teki tabloların "Teklif edilen değer" ve "Uygun / Uygun değil" sütunlarını eksiksiz dolduracaktır. Her madde için dayanak doküman ve sayfa numarası belirtilecektir.</w:t>
      </w:r>
    </w:p>
    <w:p>
      <w:pPr>
        <w:pStyle w:val="ListParagraph"/>
        <w:numPr>
          <w:ilvl w:val="0"/>
          <w:numId w:val="2"/>
        </w:numPr>
        <w:spacing w:after="70" w:line="285"/>
      </w:pPr>
      <w:r>
        <w:rPr>
          <w:rFonts w:ascii="Arial" w:cs="Arial" w:eastAsia="Arial" w:hAnsi="Arial"/>
          <w:sz w:val="21"/>
          <w:szCs w:val="21"/>
        </w:rPr>
        <w:t xml:space="preserve">Cihaz üzerinde standart olmayan veya ek ücret gerektiren özellikler ile belirli bir firmware sürümüne bağlı özellikler teklifte açıkça belirtilecektir.</w:t>
      </w:r>
    </w:p>
    <w:p>
      <w:pPr>
        <w:pStyle w:val="ListParagraph"/>
        <w:numPr>
          <w:ilvl w:val="0"/>
          <w:numId w:val="2"/>
        </w:numPr>
        <w:spacing w:after="70" w:line="285"/>
      </w:pPr>
      <w:r>
        <w:rPr>
          <w:rFonts w:ascii="Arial" w:cs="Arial" w:eastAsia="Arial" w:hAnsi="Arial"/>
          <w:sz w:val="21"/>
          <w:szCs w:val="21"/>
        </w:rPr>
        <w:t xml:space="preserve">Harici akım ve gerilim trafoları cihazla birlikte gelmez; gerekiyorsa ayrıca belirtilecek ve fiyatlandırılacaktır.</w:t>
      </w:r>
    </w:p>
    <w:p>
      <w:pPr>
        <w:pStyle w:val="Heading1"/>
        <w:pBdr>
          <w:bottom w:val="single" w:color="1F4E79" w:sz="8" w:space="4"/>
        </w:pBdr>
        <w:spacing w:after="130" w:before="320"/>
      </w:pPr>
      <w:r>
        <w:rPr>
          <w:rFonts w:ascii="Arial" w:cs="Arial" w:eastAsia="Arial" w:hAnsi="Arial"/>
          <w:b/>
          <w:bCs/>
          <w:color w:val="1F4E79"/>
          <w:sz w:val="28"/>
          <w:szCs w:val="28"/>
        </w:rPr>
        <w:t xml:space="preserve">3. Teknik Gereksinimler</w:t>
      </w:r>
    </w:p>
    <w:p>
      <w:pPr>
        <w:pStyle w:val="Heading2"/>
        <w:keepNext/>
        <w:spacing w:after="100" w:before="240"/>
      </w:pPr>
      <w:r>
        <w:rPr>
          <w:rFonts w:ascii="Arial" w:cs="Arial" w:eastAsia="Arial" w:hAnsi="Arial"/>
          <w:b/>
          <w:bCs/>
          <w:color w:val="2E75B6"/>
          <w:sz w:val="23"/>
          <w:szCs w:val="23"/>
        </w:rPr>
        <w:t xml:space="preserve">3.1 Standartlar ve sertifikalar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50"/>
        <w:gridCol w:w="5288"/>
        <w:gridCol w:w="2300"/>
        <w:gridCol w:w="1200"/>
      </w:tblGrid>
      <w:tr>
        <w:trPr>
          <w:cantSplit/>
          <w:tblHeader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Madde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Gereksinim (asgari)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Teklif edilen değer</w:t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Uygun / Uygun değil</w:t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3.1.1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Aktif enerji ölçümü IEC 62053-22 Class 0.5S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3.1.2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Reaktif enerji ölçümü IEC 62053-24 Class 0.5S veya IEC 62053-23 Class 2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3.1.3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IEC 61557-12 (PMD) ile uyumlu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3.1.4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Harmonik ve K-faktörü ölçümü IEC 61000-4-7 Class II ile uyumlu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3.1.5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CE işaretli olacaktır (LVD 2014/35/EU, EMC 2014/30/EU). Güvenlik testleri EN 61010-1 ve EN IEC 61010-2-030'a göre yapılmış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3.1.6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[İsteğe bağlı] cULus listeli (UL 61010-1)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3.1.7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Yalıtım dayanımı en az 3,6 kV AC (1 dakika), darbe gerilimi en az 6 kV (1,2/50 µs), yalıtım direnci en az 100 MΩ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3.1.8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EMC bağışıklık testleri en az EN 61000-4-2, -3, -4, -5, -6, -8, -11 ve -12'ye göre yapılmış olacaktır. Emisyon EN IEC 61000-6-4'e uygun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</w:tbl>
    <w:p>
      <w:pPr>
        <w:spacing w:after="80"/>
      </w:pPr>
    </w:p>
    <w:p>
      <w:pPr>
        <w:pStyle w:val="Heading2"/>
        <w:keepNext/>
        <w:spacing w:after="100" w:before="240"/>
      </w:pPr>
      <w:r>
        <w:rPr>
          <w:rFonts w:ascii="Arial" w:cs="Arial" w:eastAsia="Arial" w:hAnsi="Arial"/>
          <w:b/>
          <w:bCs/>
          <w:color w:val="2E75B6"/>
          <w:sz w:val="23"/>
          <w:szCs w:val="23"/>
        </w:rPr>
        <w:t xml:space="preserve">3.2 Ölçüm girişleri ve doğruluk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50"/>
        <w:gridCol w:w="5288"/>
        <w:gridCol w:w="2300"/>
        <w:gridCol w:w="1200"/>
      </w:tblGrid>
      <w:tr>
        <w:trPr>
          <w:cantSplit/>
          <w:tblHeader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Madde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Gereksinim (asgari)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Teklif edilen değer</w:t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Uygun / Uygun değil</w:t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3.2.1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3 gerilim girişi (V1, V2, V3, VN) ve 3 akım girişi bulunacaktır.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3.2.2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Gerilim girişi nominal 400 V faz-nötr / 690 V faz-faz olacak, ölçüm aralığı en az 10 V - 1,2 x Un kapsayacaktır. Aşırı yük sürekli en az 2 x Un, 1 saniye en az 5 x Un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3.2.3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Akım girişi 5 A nominal olacak (5 A/1 A otomatik ölçekleme), ölçüm aralığı nominal akımın en az %0,1 - %200'ü olacaktır. Aşırı yük sürekli en az 2 x In, 1 saniye en az 20 x In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3.2.4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Gerilim girişi tüketimi en fazla 0,02 VA/faz, akım girişi tüketimi en fazla 0,15 VA/faz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3.2.5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Ölçüm kategorisi en az CAT III 600 V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3.2.6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Frekans aralığı en az 45-65 Hz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3.2.7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Gerçek RMS ölçüm yapacak, örnekleme en az 128 örnek/periyot olacaktır (PMC-53M-A V2 ve sonraki sürümler).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3.2.8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Gerilim ve akım doğruluğu en fazla ±%0,2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3.2.9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Aktif, reaktif ve görünür güç doğruluğu en fazla ±%0,5, güç faktörü doğruluğu en fazla ±%0,5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3.2.10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Frekans doğruluğu en fazla ±0,02 Hz, faz açısı doğruluğu en fazla ±1°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3.2.11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Akım başlangıç eşiği en fazla %0,1 In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3.2.12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Besleme gerilimi en az 60-250 V AC (47-440 Hz) ve 24-250 V DC aralığını kapsayacak, tüketim 2 W'ı geçmeyecektir.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</w:tbl>
    <w:p>
      <w:pPr>
        <w:spacing w:after="80"/>
      </w:pPr>
    </w:p>
    <w:p>
      <w:pPr>
        <w:pStyle w:val="Heading2"/>
        <w:keepNext/>
        <w:spacing w:after="100" w:before="240"/>
      </w:pPr>
      <w:r>
        <w:rPr>
          <w:rFonts w:ascii="Arial" w:cs="Arial" w:eastAsia="Arial" w:hAnsi="Arial"/>
          <w:b/>
          <w:bCs/>
          <w:color w:val="2E75B6"/>
          <w:sz w:val="23"/>
          <w:szCs w:val="23"/>
        </w:rPr>
        <w:t xml:space="preserve">3.3 Ölçülen büyüklükler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50"/>
        <w:gridCol w:w="5288"/>
        <w:gridCol w:w="2300"/>
        <w:gridCol w:w="1200"/>
      </w:tblGrid>
      <w:tr>
        <w:trPr>
          <w:cantSplit/>
          <w:tblHeader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Madde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Gereksinim (asgari)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Teklif edilen değer</w:t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Uygun / Uygun değil</w:t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3.3.1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Faz-nötr ve faz-faz gerilim (faz başına ve ortalama), faz başına ve ortalama akım, hesaplanan nötr akımı ölçülecektir.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3.3.2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Faz başına ve toplam P, Q, S ve PF; frekans ölçülecektir.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3.3.3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kWh ve kvarh çekilen, verilen, net ve toplam; kVAh toplam ve kvarh Q1-Q4 enerjileri ölçülecektir.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3.3.4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Gerilim ve akım THD, TOHD ve TEHD değerleri ile en az 63. harmoniğe kadar bireysel harmonikler ölçülecektir.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3.3.5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Akım TDD, TDD Odd/Even, K-Faktörü ve Tepe Faktörü hesaplanacaktır.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3.3.6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Gerilim ve akım dengesizliği, simetrili bileşenler ve faz açıları ölçülecektir.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3.3.7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Gerilim (ULN, ULL) ve frekans sapması izlenecektir.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3.3.8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Faz başına ve toplam temel (fundamental) güç, toplam harmonik güç ve displacement PF ölçülecektir.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3.3.9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P, Q, S toplam ve faz başına akım için mevcut, öngörülen ve maksimum talep ölçülecek; maksimum talep zaman damgalı olacak, bu ay / geçen ay (veya son reset / önceki reset) için saklanacaktır.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3.3.10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Cihaz çalışma süresi (running hours) sayılacaktır.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</w:tbl>
    <w:p>
      <w:pPr>
        <w:spacing w:after="80"/>
      </w:pPr>
    </w:p>
    <w:p>
      <w:pPr>
        <w:pStyle w:val="Heading2"/>
        <w:keepNext/>
        <w:spacing w:after="100" w:before="240"/>
      </w:pPr>
      <w:r>
        <w:rPr>
          <w:rFonts w:ascii="Arial" w:cs="Arial" w:eastAsia="Arial" w:hAnsi="Arial"/>
          <w:b/>
          <w:bCs/>
          <w:color w:val="2E75B6"/>
          <w:sz w:val="23"/>
          <w:szCs w:val="23"/>
        </w:rPr>
        <w:t xml:space="preserve">3.4 Kayıt ve alarm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50"/>
        <w:gridCol w:w="5288"/>
        <w:gridCol w:w="2300"/>
        <w:gridCol w:w="1200"/>
      </w:tblGrid>
      <w:tr>
        <w:trPr>
          <w:cantSplit/>
          <w:tblHeader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Madde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Gereksinim (asgari)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Teklif edilen değer</w:t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Uygun / Uygun değil</w:t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3.4.1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Gerilim, akım, güç, PF, frekans, dengesizlik, K-Faktörü, Tepe Faktörü ve THD için zaman damgalı Max./Min. kaydı tutulacaktır.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3.4.2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En az 100 olay kapasiteli, ±1 ms çözünürlüklü SOE kaydı bulunacaktır. Ayar değişikliği, setpoint, DI ve DO olayları kaydedilecektir.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3.4.3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En az 9 adet programlanabilir setpoint bulunacak; gerilim, akım, güç ve THD gibi parametreler için eşik, gecikme ve DO tetikleme ayarlanabilecektir.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3.4.4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Pil destekli gerçek zamanlı saat bulunacak, doğruluğu en fazla 25 ppm (günde 2 saniye)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3.4.5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Tanılama: frekans aralık dışı, gerilim/akım kaybı, güç yönü, olası hatalı CT polaritesi ve hatalı faz sırası tespit edilebilecektir.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</w:tbl>
    <w:p>
      <w:pPr>
        <w:spacing w:after="80"/>
      </w:pPr>
    </w:p>
    <w:p>
      <w:pPr>
        <w:pStyle w:val="Heading2"/>
        <w:keepNext/>
        <w:spacing w:after="100" w:before="240"/>
      </w:pPr>
      <w:r>
        <w:rPr>
          <w:rFonts w:ascii="Arial" w:cs="Arial" w:eastAsia="Arial" w:hAnsi="Arial"/>
          <w:b/>
          <w:bCs/>
          <w:color w:val="2E75B6"/>
          <w:sz w:val="23"/>
          <w:szCs w:val="23"/>
        </w:rPr>
        <w:t xml:space="preserve">3.5 Haberleşme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50"/>
        <w:gridCol w:w="5288"/>
        <w:gridCol w:w="2300"/>
        <w:gridCol w:w="1200"/>
      </w:tblGrid>
      <w:tr>
        <w:trPr>
          <w:cantSplit/>
          <w:tblHeader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Madde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Gereksinim (asgari)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Teklif edilen değer</w:t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Uygun / Uygun değil</w:t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3.5.1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En az 1 adet optik yalıtımlı RS-485 portu bulunacak, en az 38.400 bps hızı destekleyecektir.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3.5.2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Modbus RTU protokolü desteklenecektir.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3.5.3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Cihaz ayarları ön panelden ve üreticinin ücretsiz yapılandırma yazılımıyla yapılabilecek, ayarlar şifre korumalı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3.5.4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Modbus kayıt haritası üretici tarafından sağlanacaktır.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</w:tbl>
    <w:p>
      <w:pPr>
        <w:spacing w:after="80"/>
      </w:pPr>
    </w:p>
    <w:p>
      <w:pPr>
        <w:pStyle w:val="Heading2"/>
        <w:keepNext/>
        <w:spacing w:after="100" w:before="240"/>
      </w:pPr>
      <w:r>
        <w:rPr>
          <w:rFonts w:ascii="Arial" w:cs="Arial" w:eastAsia="Arial" w:hAnsi="Arial"/>
          <w:b/>
          <w:bCs/>
          <w:color w:val="2E75B6"/>
          <w:sz w:val="23"/>
          <w:szCs w:val="23"/>
        </w:rPr>
        <w:t xml:space="preserve">3.6 Giriş / çıkışlar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50"/>
        <w:gridCol w:w="5288"/>
        <w:gridCol w:w="2300"/>
        <w:gridCol w:w="1200"/>
      </w:tblGrid>
      <w:tr>
        <w:trPr>
          <w:cantSplit/>
          <w:tblHeader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Madde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Gereksinim (asgari)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Teklif edilen değer</w:t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Uygun / Uygun değil</w:t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3.6.1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[İsteğe bağlı] 4 dijital giriş (potansiyelsiz kuru kontak, dahili 24 VDC beslemeli) bulunacaktır. Örnekleme en az 1000 Hz, programlanabilir debounce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3.6.2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[İsteğe bağlı] Dijital girişler kanal başına programlanabilir ağırlıkla darbe sayabilecektir.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3.6.3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[İsteğe bağlı] 2 adet Form A mekanik röle çıkışı (5 A @ 250 VAC / 30 VDC, rezistif) bulunacaktır.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</w:tbl>
    <w:p>
      <w:pPr>
        <w:spacing w:after="80"/>
      </w:pPr>
    </w:p>
    <w:p>
      <w:pPr>
        <w:pStyle w:val="Heading2"/>
        <w:keepNext/>
        <w:spacing w:after="100" w:before="240"/>
      </w:pPr>
      <w:r>
        <w:rPr>
          <w:rFonts w:ascii="Arial" w:cs="Arial" w:eastAsia="Arial" w:hAnsi="Arial"/>
          <w:b/>
          <w:bCs/>
          <w:color w:val="2E75B6"/>
          <w:sz w:val="23"/>
          <w:szCs w:val="23"/>
        </w:rPr>
        <w:t xml:space="preserve">3.7 Ekran ve mekanik özellikler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50"/>
        <w:gridCol w:w="5288"/>
        <w:gridCol w:w="2300"/>
        <w:gridCol w:w="1200"/>
      </w:tblGrid>
      <w:tr>
        <w:trPr>
          <w:cantSplit/>
          <w:tblHeader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Madde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Gereksinim (asgari)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Teklif edilen değer</w:t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Uygun / Uygun değil</w:t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3.7.1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Geniş görüş açılı, arkadan aydınlatmalı LCD ekran bulunacak, üç fazlı ölçümleri aynı anda gösterebilecektir.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3.7.2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Enerji darbesi ve haberleşme aktivitesi için LED göstergeleri bulunacaktır.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3.7.3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DIN 96 gövdeli olacak, ön yüz 96 x 96 mm, derinlik en fazla 83,6 mm, pano kesiti 92 x 92 mm olacaktır. Takımsız klips ile monte edilecektir.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3.7.4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Koruma sınıfı en az IP65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3.7.5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Çalışma sıcaklığı en az -25 °C ile 70 °C, saklama sıcaklığı en az -40 °C ile 85 °C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3.7.6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Nem toleransı en az %5-%95 (yoğuşmasız)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3.7.7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Yükseklik toleransı en az 2000 m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3.7.8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3 faz 4 telli, 3 faz 3 telli, 1 faz 3 telli ve 1 faz 2 telli bağlantı tiplerini destekleyecektir.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</w:tbl>
    <w:p>
      <w:pPr>
        <w:spacing w:after="80"/>
      </w:pPr>
    </w:p>
    <w:p>
      <w:pPr>
        <w:pStyle w:val="Heading1"/>
        <w:pBdr>
          <w:bottom w:val="single" w:color="1F4E79" w:sz="8" w:space="4"/>
        </w:pBdr>
        <w:spacing w:after="130" w:before="320"/>
      </w:pPr>
      <w:r>
        <w:rPr>
          <w:rFonts w:ascii="Arial" w:cs="Arial" w:eastAsia="Arial" w:hAnsi="Arial"/>
          <w:b/>
          <w:bCs/>
          <w:color w:val="1F4E79"/>
          <w:sz w:val="28"/>
          <w:szCs w:val="28"/>
        </w:rPr>
        <w:t xml:space="preserve">4. Teslimat, Garanti, Test ve Eğitim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00"/>
        <w:gridCol w:w="6738"/>
      </w:tblGrid>
      <w:tr>
        <w:trPr>
          <w:cantSplit/>
        </w:trPr>
        <w:tc>
          <w:tcPr>
            <w:tcW w:type="dxa" w:w="2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Teslim süresi</w:t>
            </w:r>
          </w:p>
        </w:tc>
        <w:tc>
          <w:tcPr>
            <w:tcW w:type="dxa" w:w="67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Sipariş tarihinden itibaren [__] takvim günü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Teslim yeri</w:t>
            </w:r>
          </w:p>
        </w:tc>
        <w:tc>
          <w:tcPr>
            <w:tcW w:type="dxa" w:w="67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[Adres]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Garanti</w:t>
            </w:r>
          </w:p>
        </w:tc>
        <w:tc>
          <w:tcPr>
            <w:tcW w:type="dxa" w:w="67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En az [__] yıl. Garanti süresince arızalı cihaz ücretsiz onarılacak veya değiştirilecektir.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Yedek parça ve destek</w:t>
            </w:r>
          </w:p>
        </w:tc>
        <w:tc>
          <w:tcPr>
            <w:tcW w:type="dxa" w:w="67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Cihaz üretimden kalktıktan sonra [__] yıl yedek parça ve teknik destek sağlanacaktır.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Devreye alma</w:t>
            </w:r>
          </w:p>
        </w:tc>
        <w:tc>
          <w:tcPr>
            <w:tcW w:type="dxa" w:w="67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[İdare belirler: Devreye alma ve ayar hizmeti isteniyor / istenmiyor]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Eğitim</w:t>
            </w:r>
          </w:p>
        </w:tc>
        <w:tc>
          <w:tcPr>
            <w:tcW w:type="dxa" w:w="67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[__] kişilik, [__] gün kullanım ve yapılandırma eğitimi verilecektir.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Dokümantasyon</w:t>
            </w:r>
          </w:p>
        </w:tc>
        <w:tc>
          <w:tcPr>
            <w:tcW w:type="dxa" w:w="67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Kullanım kılavuzu, datasheet ve haberleşme (Modbus) kayıt haritası teslim edilecektir. [Türkçe doküman istenir / istenmez.]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Fabrika testi</w:t>
            </w:r>
          </w:p>
        </w:tc>
        <w:tc>
          <w:tcPr>
            <w:tcW w:type="dxa" w:w="67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Her cihaz için seri numaralı test/kalibrasyon belgesi sunulacaktır.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Ambalaj</w:t>
            </w:r>
          </w:p>
        </w:tc>
        <w:tc>
          <w:tcPr>
            <w:tcW w:type="dxa" w:w="67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Cihazlar, nakliye sırasında zarar görmeyecek şekilde orijinal ambalajında teslim edilecektir.</w:t>
            </w:r>
          </w:p>
        </w:tc>
      </w:tr>
    </w:tbl>
    <w:p>
      <w:pPr>
        <w:pStyle w:val="Heading1"/>
        <w:pBdr>
          <w:bottom w:val="single" w:color="1F4E79" w:sz="8" w:space="4"/>
        </w:pBdr>
        <w:spacing w:after="130" w:before="320"/>
      </w:pPr>
      <w:r>
        <w:rPr>
          <w:rFonts w:ascii="Arial" w:cs="Arial" w:eastAsia="Arial" w:hAnsi="Arial"/>
          <w:b/>
          <w:bCs/>
          <w:color w:val="1F4E79"/>
          <w:sz w:val="28"/>
          <w:szCs w:val="28"/>
        </w:rPr>
        <w:t xml:space="preserve">5. Teklifle Birlikte Sunulacak Belgeler</w:t>
      </w:r>
    </w:p>
    <w:p>
      <w:pPr>
        <w:pStyle w:val="ListParagraph"/>
        <w:numPr>
          <w:ilvl w:val="0"/>
          <w:numId w:val="2"/>
        </w:numPr>
        <w:spacing w:after="70" w:line="285"/>
      </w:pPr>
      <w:r>
        <w:rPr>
          <w:rFonts w:ascii="Arial" w:cs="Arial" w:eastAsia="Arial" w:hAnsi="Arial"/>
          <w:sz w:val="21"/>
          <w:szCs w:val="21"/>
        </w:rPr>
        <w:t xml:space="preserve">Doldurulmuş teknik uygunluk tabloları (Bölüm 3)</w:t>
      </w:r>
    </w:p>
    <w:p>
      <w:pPr>
        <w:pStyle w:val="ListParagraph"/>
        <w:numPr>
          <w:ilvl w:val="0"/>
          <w:numId w:val="2"/>
        </w:numPr>
        <w:spacing w:after="70" w:line="285"/>
      </w:pPr>
      <w:r>
        <w:rPr>
          <w:rFonts w:ascii="Arial" w:cs="Arial" w:eastAsia="Arial" w:hAnsi="Arial"/>
          <w:sz w:val="21"/>
          <w:szCs w:val="21"/>
        </w:rPr>
        <w:t xml:space="preserve">Teklif edilen cihazın datasheet ve kullanım kılavuzu</w:t>
      </w:r>
    </w:p>
    <w:p>
      <w:pPr>
        <w:pStyle w:val="ListParagraph"/>
        <w:numPr>
          <w:ilvl w:val="0"/>
          <w:numId w:val="2"/>
        </w:numPr>
        <w:spacing w:after="70" w:line="285"/>
      </w:pPr>
      <w:r>
        <w:rPr>
          <w:rFonts w:ascii="Arial" w:cs="Arial" w:eastAsia="Arial" w:hAnsi="Arial"/>
          <w:sz w:val="21"/>
          <w:szCs w:val="21"/>
        </w:rPr>
        <w:t xml:space="preserve">Madde 3.1'de istenen standart uygunluk belgeleri / test raporları</w:t>
      </w:r>
    </w:p>
    <w:p>
      <w:pPr>
        <w:pStyle w:val="ListParagraph"/>
        <w:numPr>
          <w:ilvl w:val="0"/>
          <w:numId w:val="2"/>
        </w:numPr>
        <w:spacing w:after="70" w:line="285"/>
      </w:pPr>
      <w:r>
        <w:rPr>
          <w:rFonts w:ascii="Arial" w:cs="Arial" w:eastAsia="Arial" w:hAnsi="Arial"/>
          <w:sz w:val="21"/>
          <w:szCs w:val="21"/>
        </w:rPr>
        <w:t xml:space="preserve">CE uygunluk beyanı</w:t>
      </w:r>
    </w:p>
    <w:p>
      <w:pPr>
        <w:pStyle w:val="ListParagraph"/>
        <w:numPr>
          <w:ilvl w:val="0"/>
          <w:numId w:val="2"/>
        </w:numPr>
        <w:spacing w:after="70" w:line="285"/>
      </w:pPr>
      <w:r>
        <w:rPr>
          <w:rFonts w:ascii="Arial" w:cs="Arial" w:eastAsia="Arial" w:hAnsi="Arial"/>
          <w:sz w:val="21"/>
          <w:szCs w:val="21"/>
        </w:rPr>
        <w:t xml:space="preserve">Üretici yetki veya distribütörlük belgesi</w:t>
      </w:r>
    </w:p>
    <w:p>
      <w:pPr>
        <w:pStyle w:val="ListParagraph"/>
        <w:numPr>
          <w:ilvl w:val="0"/>
          <w:numId w:val="2"/>
        </w:numPr>
        <w:spacing w:after="70" w:line="285"/>
      </w:pPr>
      <w:r>
        <w:rPr>
          <w:rFonts w:ascii="Arial" w:cs="Arial" w:eastAsia="Arial" w:hAnsi="Arial"/>
          <w:sz w:val="21"/>
          <w:szCs w:val="21"/>
        </w:rPr>
        <w:t xml:space="preserve">Benzer iş referans listesi</w:t>
      </w:r>
    </w:p>
    <w:p>
      <w:pPr>
        <w:pStyle w:val="ListParagraph"/>
        <w:numPr>
          <w:ilvl w:val="0"/>
          <w:numId w:val="2"/>
        </w:numPr>
        <w:spacing w:after="70" w:line="285"/>
      </w:pPr>
      <w:r>
        <w:rPr>
          <w:rFonts w:ascii="Arial" w:cs="Arial" w:eastAsia="Arial" w:hAnsi="Arial"/>
          <w:sz w:val="21"/>
          <w:szCs w:val="21"/>
        </w:rPr>
        <w:t xml:space="preserve">Teklif edilen firmware sürümü ve sürüme bağlı özelliklerin listesi</w:t>
      </w:r>
    </w:p>
    <w:p>
      <w:pPr>
        <w:pStyle w:val="ListParagraph"/>
        <w:numPr>
          <w:ilvl w:val="0"/>
          <w:numId w:val="2"/>
        </w:numPr>
        <w:spacing w:after="70" w:line="285"/>
      </w:pPr>
      <w:r>
        <w:rPr>
          <w:rFonts w:ascii="Arial" w:cs="Arial" w:eastAsia="Arial" w:hAnsi="Arial"/>
          <w:sz w:val="21"/>
          <w:szCs w:val="21"/>
        </w:rPr>
        <w:t xml:space="preserve">Aksesuarlar varsa ayrı fiyat ve teknik özellik listesi</w:t>
      </w:r>
    </w:p>
    <w:p>
      <w:pPr>
        <w:pStyle w:val="Heading1"/>
        <w:pBdr>
          <w:bottom w:val="single" w:color="1F4E79" w:sz="8" w:space="4"/>
        </w:pBdr>
        <w:spacing w:after="130" w:before="320"/>
      </w:pPr>
      <w:r>
        <w:rPr>
          <w:rFonts w:ascii="Arial" w:cs="Arial" w:eastAsia="Arial" w:hAnsi="Arial"/>
          <w:b/>
          <w:bCs/>
          <w:color w:val="1F4E79"/>
          <w:sz w:val="28"/>
          <w:szCs w:val="28"/>
        </w:rPr>
        <w:t xml:space="preserve">Ek-1: Sipariş Bilgisi</w:t>
      </w:r>
    </w:p>
    <w:p>
      <w:pPr>
        <w:spacing w:after="110" w:line="290"/>
      </w:pP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Datasheet'teki sipariş kodu tablosu görsel olarak yer aldığından kod yapısı bu şartnamede verilmemiştir. Cihazın standart donanımı RS-485 ve Modbus RTU'dur; 4 dijital giriş ve 2 röle çıkışı opsiyoneldir. Teklif sahibi, teklif ettiği tam sipariş kodunu ve her seçeneğin anlamını teklifle birlikte sunacaktır.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6438"/>
      </w:tblGrid>
      <w:tr>
        <w:trPr>
          <w:cantSplit/>
        </w:trP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Model</w:t>
            </w:r>
          </w:p>
        </w:tc>
        <w:tc>
          <w:tcPr>
            <w:tcW w:type="dxa" w:w="64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PMC-53M-A (V2 ve sonraki sürümler)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Standart donanım</w:t>
            </w:r>
          </w:p>
        </w:tc>
        <w:tc>
          <w:tcPr>
            <w:tcW w:type="dxa" w:w="64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3 gerilim + 3 akım girişi, 7 segmentli LCD, RS-485 (Modbus RTU)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Opsiyonel I/O</w:t>
            </w:r>
          </w:p>
        </w:tc>
        <w:tc>
          <w:tcPr>
            <w:tcW w:type="dxa" w:w="64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4 DI; 2 Form A röle çıkışı</w:t>
            </w:r>
          </w:p>
        </w:tc>
      </w:tr>
    </w:tbl>
    <w:sectPr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595959"/>
        <w:sz w:val="16"/>
        <w:szCs w:val="16"/>
      </w:rPr>
      <w:t xml:space="preserve">Dijital Çok Fonksiyonlu Enerji Analizörü Teknik Şartnamesi  |  Sayfa </w:t>
    </w:r>
    <w:r>
      <w:rPr>
        <w:rFonts w:ascii="Arial" w:cs="Arial" w:eastAsia="Arial" w:hAnsi="Arial"/>
        <w:color w:val="595959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27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30" w:before="320"/>
      <w:outlineLvl w:val="0"/>
    </w:pPr>
    <w:rPr>
      <w:rFonts w:ascii="Arial" w:cs="Arial" w:eastAsia="Arial" w:hAnsi="Arial"/>
      <w:b/>
      <w:bCs/>
      <w:color w:val="1F4E79"/>
      <w:sz w:val="28"/>
      <w:szCs w:val="28"/>
    </w:rPr>
  </w:style>
  <w:style w:type="paragraph" w:styleId="Heading2">
    <w:name w:val="Heading 2"/>
    <w:basedOn w:val="Normal"/>
    <w:next w:val="Normal"/>
    <w:qFormat/>
    <w:pPr>
      <w:spacing w:after="100" w:before="220"/>
      <w:outlineLvl w:val="1"/>
    </w:pPr>
    <w:rPr>
      <w:rFonts w:ascii="Arial" w:cs="Arial" w:eastAsia="Arial" w:hAnsi="Arial"/>
      <w:b/>
      <w:bCs/>
      <w:color w:val="2E75B6"/>
      <w:sz w:val="23"/>
      <w:szCs w:val="23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Dijital Çok Fonksiyonlu Enerji Analizörü Teknik Şartnamesi</dc:title>
  <dc:creator>SGE Mühendislik</dc:creator>
  <cp:lastModifiedBy>Un-named</cp:lastModifiedBy>
  <cp:revision>1</cp:revision>
  <dcterms:created xsi:type="dcterms:W3CDTF">2026-10-05T17:41:08.959Z</dcterms:created>
  <dcterms:modified xsi:type="dcterms:W3CDTF">2026-10-05T17:41:08.959Z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